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13F" w:rsidRPr="00C2429E" w:rsidRDefault="00AA513F" w:rsidP="00AA513F">
      <w:pPr>
        <w:rPr>
          <w:b/>
          <w:sz w:val="26"/>
          <w:szCs w:val="26"/>
        </w:rPr>
      </w:pPr>
      <w:bookmarkStart w:id="0" w:name="_GoBack"/>
      <w:bookmarkEnd w:id="0"/>
      <w:r w:rsidRPr="00C2429E">
        <w:rPr>
          <w:b/>
          <w:sz w:val="26"/>
          <w:szCs w:val="26"/>
        </w:rPr>
        <w:t>Sleep Screening Key</w:t>
      </w:r>
    </w:p>
    <w:p w:rsidR="00AA513F" w:rsidRPr="005B586B" w:rsidRDefault="00AA513F" w:rsidP="00AA513F">
      <w:pPr>
        <w:rPr>
          <w:b/>
          <w:sz w:val="24"/>
        </w:rPr>
      </w:pPr>
      <w:r w:rsidRPr="005B586B">
        <w:rPr>
          <w:b/>
          <w:sz w:val="24"/>
        </w:rPr>
        <w:t>Epworth Sleepiness Scale (ESS) Key</w:t>
      </w:r>
    </w:p>
    <w:p w:rsidR="00AA513F" w:rsidRDefault="00AA513F" w:rsidP="00AA513F">
      <w:pPr>
        <w:ind w:left="720"/>
      </w:pPr>
      <w:r>
        <w:t>The ESS is a standard self-administered questionnaire that measures a person’s general level of daytime sleepiness. The ESS rates the probability of falling asleep in eight different situations.</w:t>
      </w:r>
    </w:p>
    <w:p w:rsidR="00AA513F" w:rsidRDefault="00AA513F" w:rsidP="00AA513F">
      <w:pPr>
        <w:ind w:left="720"/>
      </w:pPr>
      <w:r w:rsidRPr="00743729">
        <w:rPr>
          <w:b/>
        </w:rPr>
        <w:t>Instructions:</w:t>
      </w:r>
      <w:r>
        <w:t xml:space="preserve"> The written instructions on the ESS are meant to be vague. Do not give further instructions. Do not give patients an interpretation of their ESS score until they have completed the questionnaire. </w:t>
      </w:r>
    </w:p>
    <w:p w:rsidR="00AA513F" w:rsidRPr="00743729" w:rsidRDefault="00AA513F" w:rsidP="00AA513F">
      <w:pPr>
        <w:ind w:left="720"/>
      </w:pPr>
      <w:r w:rsidRPr="00743729">
        <w:rPr>
          <w:b/>
        </w:rPr>
        <w:t>Scoring:</w:t>
      </w:r>
      <w:r>
        <w:rPr>
          <w:b/>
        </w:rPr>
        <w:t xml:space="preserve"> </w:t>
      </w:r>
      <w:r>
        <w:t xml:space="preserve">Add up the scores. If a patient scores in fractions (i.e. ½ or 1½) then record these at face value. If the total score includes a fraction, then round up the total score to the next whole number. </w:t>
      </w:r>
    </w:p>
    <w:p w:rsidR="00AA513F" w:rsidRDefault="00AA513F" w:rsidP="00AA513F">
      <w:pPr>
        <w:pBdr>
          <w:top w:val="single" w:sz="4" w:space="1" w:color="auto"/>
          <w:left w:val="single" w:sz="4" w:space="4" w:color="auto"/>
          <w:bottom w:val="single" w:sz="4" w:space="1" w:color="auto"/>
          <w:right w:val="single" w:sz="4" w:space="4" w:color="auto"/>
        </w:pBdr>
        <w:ind w:left="1170" w:right="1800"/>
        <w:rPr>
          <w:b/>
        </w:rPr>
      </w:pPr>
      <w:r w:rsidRPr="00743729">
        <w:rPr>
          <w:b/>
        </w:rPr>
        <w:t>ESS Key</w:t>
      </w:r>
    </w:p>
    <w:p w:rsidR="00AA513F" w:rsidRDefault="00AA513F" w:rsidP="00AA513F">
      <w:pPr>
        <w:pBdr>
          <w:top w:val="single" w:sz="4" w:space="1" w:color="auto"/>
          <w:left w:val="single" w:sz="4" w:space="4" w:color="auto"/>
          <w:bottom w:val="single" w:sz="4" w:space="1" w:color="auto"/>
          <w:right w:val="single" w:sz="4" w:space="4" w:color="auto"/>
        </w:pBdr>
        <w:ind w:left="1170" w:right="1800"/>
      </w:pPr>
      <w:r w:rsidRPr="00743729">
        <w:rPr>
          <w:b/>
        </w:rPr>
        <w:tab/>
        <w:t>0 – 10</w:t>
      </w:r>
      <w:r>
        <w:tab/>
        <w:t>Normal</w:t>
      </w:r>
      <w:r>
        <w:br/>
      </w:r>
      <w:r w:rsidRPr="00743729">
        <w:rPr>
          <w:b/>
        </w:rPr>
        <w:tab/>
        <w:t>11 – 24</w:t>
      </w:r>
      <w:r>
        <w:tab/>
        <w:t>Recommend medical follow-up for specialist treatment</w:t>
      </w:r>
    </w:p>
    <w:p w:rsidR="00AA513F" w:rsidRDefault="00AA513F" w:rsidP="00AA513F">
      <w:pPr>
        <w:jc w:val="right"/>
        <w:rPr>
          <w:i/>
        </w:rPr>
      </w:pPr>
      <w:r w:rsidRPr="00743729">
        <w:rPr>
          <w:i/>
        </w:rPr>
        <w:t>www.EpworthSleepinessScale.com</w:t>
      </w:r>
    </w:p>
    <w:p w:rsidR="00EA5481" w:rsidRPr="00EF220B" w:rsidRDefault="00AA513F">
      <w:pPr>
        <w:rPr>
          <w:b/>
        </w:rPr>
      </w:pPr>
      <w:r w:rsidRPr="00EF220B">
        <w:rPr>
          <w:b/>
        </w:rPr>
        <w:t>STOP – BANG</w:t>
      </w:r>
    </w:p>
    <w:p w:rsidR="00EF220B" w:rsidRDefault="00EF220B" w:rsidP="00AA513F">
      <w:pPr>
        <w:autoSpaceDE w:val="0"/>
        <w:autoSpaceDN w:val="0"/>
        <w:adjustRightInd w:val="0"/>
        <w:spacing w:after="0" w:line="240" w:lineRule="auto"/>
      </w:pPr>
      <w:r>
        <w:t xml:space="preserve">The purpose of the STOP – BANG questionnaire is to determine “high” or “low” risk for sleep apnea. </w:t>
      </w:r>
    </w:p>
    <w:p w:rsidR="00EF220B" w:rsidRDefault="00EF220B" w:rsidP="00AA513F">
      <w:pPr>
        <w:autoSpaceDE w:val="0"/>
        <w:autoSpaceDN w:val="0"/>
        <w:adjustRightInd w:val="0"/>
        <w:spacing w:after="0" w:line="240" w:lineRule="auto"/>
      </w:pPr>
    </w:p>
    <w:p w:rsidR="00EF220B" w:rsidRPr="00EF220B" w:rsidRDefault="009A718F" w:rsidP="009A718F">
      <w:pPr>
        <w:autoSpaceDE w:val="0"/>
        <w:autoSpaceDN w:val="0"/>
        <w:adjustRightInd w:val="0"/>
        <w:spacing w:after="0" w:line="240" w:lineRule="auto"/>
        <w:ind w:left="720"/>
      </w:pPr>
      <w:r>
        <w:rPr>
          <w:rFonts w:cstheme="minorHAnsi"/>
        </w:rPr>
        <w:t>STOP</w:t>
      </w:r>
      <w:r w:rsidR="00AA513F" w:rsidRPr="00EF220B">
        <w:rPr>
          <w:rFonts w:cstheme="minorHAnsi"/>
        </w:rPr>
        <w:t xml:space="preserve"> </w:t>
      </w:r>
    </w:p>
    <w:p w:rsidR="00AA513F" w:rsidRPr="00EF220B" w:rsidRDefault="00AA513F" w:rsidP="009A718F">
      <w:pPr>
        <w:autoSpaceDE w:val="0"/>
        <w:autoSpaceDN w:val="0"/>
        <w:adjustRightInd w:val="0"/>
        <w:spacing w:after="0" w:line="240" w:lineRule="auto"/>
        <w:ind w:left="720" w:firstLine="720"/>
        <w:rPr>
          <w:rFonts w:cstheme="minorHAnsi"/>
        </w:rPr>
      </w:pPr>
      <w:r w:rsidRPr="00EF220B">
        <w:rPr>
          <w:rFonts w:eastAsiaTheme="minorHAnsi" w:cstheme="minorHAnsi"/>
          <w:i/>
          <w:iCs/>
        </w:rPr>
        <w:t xml:space="preserve">High risk of OSA: </w:t>
      </w:r>
      <w:r w:rsidRPr="00EF220B">
        <w:rPr>
          <w:rFonts w:eastAsiaTheme="minorHAnsi" w:cstheme="minorHAnsi"/>
        </w:rPr>
        <w:t xml:space="preserve">answering </w:t>
      </w:r>
      <w:r w:rsidRPr="00EF220B">
        <w:rPr>
          <w:rFonts w:eastAsiaTheme="minorHAnsi" w:cstheme="minorHAnsi"/>
          <w:b/>
        </w:rPr>
        <w:t>yes</w:t>
      </w:r>
      <w:r w:rsidRPr="00EF220B">
        <w:rPr>
          <w:rFonts w:eastAsiaTheme="minorHAnsi" w:cstheme="minorHAnsi"/>
        </w:rPr>
        <w:t xml:space="preserve"> to </w:t>
      </w:r>
      <w:r w:rsidRPr="00EF220B">
        <w:rPr>
          <w:rFonts w:eastAsiaTheme="minorHAnsi" w:cstheme="minorHAnsi"/>
          <w:b/>
        </w:rPr>
        <w:t>two or more questions</w:t>
      </w:r>
    </w:p>
    <w:p w:rsidR="00EF220B" w:rsidRDefault="00AA513F" w:rsidP="009A718F">
      <w:pPr>
        <w:autoSpaceDE w:val="0"/>
        <w:autoSpaceDN w:val="0"/>
        <w:adjustRightInd w:val="0"/>
        <w:spacing w:after="0" w:line="240" w:lineRule="auto"/>
        <w:ind w:left="720" w:firstLine="720"/>
        <w:rPr>
          <w:rFonts w:eastAsiaTheme="minorHAnsi" w:cstheme="minorHAnsi"/>
        </w:rPr>
      </w:pPr>
      <w:r w:rsidRPr="00EF220B">
        <w:rPr>
          <w:rFonts w:eastAsiaTheme="minorHAnsi" w:cstheme="minorHAnsi"/>
          <w:i/>
          <w:iCs/>
        </w:rPr>
        <w:t xml:space="preserve">Low risk of OSA: </w:t>
      </w:r>
      <w:r w:rsidRPr="00EF220B">
        <w:rPr>
          <w:rFonts w:eastAsiaTheme="minorHAnsi" w:cstheme="minorHAnsi"/>
        </w:rPr>
        <w:t xml:space="preserve">answering </w:t>
      </w:r>
      <w:r w:rsidRPr="00EF220B">
        <w:rPr>
          <w:rFonts w:eastAsiaTheme="minorHAnsi" w:cstheme="minorHAnsi"/>
          <w:b/>
        </w:rPr>
        <w:t>yes</w:t>
      </w:r>
      <w:r w:rsidRPr="00EF220B">
        <w:rPr>
          <w:rFonts w:eastAsiaTheme="minorHAnsi" w:cstheme="minorHAnsi"/>
        </w:rPr>
        <w:t xml:space="preserve"> to </w:t>
      </w:r>
      <w:r w:rsidRPr="00EF220B">
        <w:rPr>
          <w:rFonts w:eastAsiaTheme="minorHAnsi" w:cstheme="minorHAnsi"/>
          <w:b/>
        </w:rPr>
        <w:t>less than two questions</w:t>
      </w:r>
    </w:p>
    <w:p w:rsidR="00EF220B" w:rsidRDefault="00EF220B" w:rsidP="009A718F">
      <w:pPr>
        <w:autoSpaceDE w:val="0"/>
        <w:autoSpaceDN w:val="0"/>
        <w:adjustRightInd w:val="0"/>
        <w:spacing w:after="0" w:line="240" w:lineRule="auto"/>
        <w:ind w:left="720"/>
        <w:rPr>
          <w:rFonts w:eastAsiaTheme="minorHAnsi" w:cstheme="minorHAnsi"/>
        </w:rPr>
      </w:pPr>
    </w:p>
    <w:p w:rsidR="00EF220B" w:rsidRDefault="009A718F" w:rsidP="009A718F">
      <w:pPr>
        <w:autoSpaceDE w:val="0"/>
        <w:autoSpaceDN w:val="0"/>
        <w:adjustRightInd w:val="0"/>
        <w:spacing w:after="0" w:line="240" w:lineRule="auto"/>
        <w:ind w:left="720"/>
        <w:rPr>
          <w:rFonts w:eastAsiaTheme="minorHAnsi" w:cstheme="minorHAnsi"/>
        </w:rPr>
      </w:pPr>
      <w:r>
        <w:rPr>
          <w:rFonts w:cstheme="minorHAnsi"/>
          <w:color w:val="000000"/>
          <w:lang w:val="en-GB"/>
        </w:rPr>
        <w:t>BANG</w:t>
      </w:r>
    </w:p>
    <w:p w:rsidR="00AA513F" w:rsidRPr="00EF220B" w:rsidRDefault="00AA513F" w:rsidP="009A718F">
      <w:pPr>
        <w:autoSpaceDE w:val="0"/>
        <w:autoSpaceDN w:val="0"/>
        <w:adjustRightInd w:val="0"/>
        <w:spacing w:after="0" w:line="240" w:lineRule="auto"/>
        <w:ind w:left="1440"/>
        <w:rPr>
          <w:rFonts w:eastAsiaTheme="minorHAnsi" w:cstheme="minorHAnsi"/>
        </w:rPr>
      </w:pPr>
      <w:r w:rsidRPr="00EF220B">
        <w:rPr>
          <w:rFonts w:eastAsiaTheme="minorHAnsi" w:cstheme="minorHAnsi"/>
          <w:i/>
          <w:iCs/>
        </w:rPr>
        <w:t xml:space="preserve">High risk of OSA: </w:t>
      </w:r>
      <w:r w:rsidRPr="00EF220B">
        <w:rPr>
          <w:rFonts w:eastAsiaTheme="minorHAnsi" w:cstheme="minorHAnsi"/>
        </w:rPr>
        <w:t xml:space="preserve">answering </w:t>
      </w:r>
      <w:r w:rsidRPr="00EF220B">
        <w:rPr>
          <w:rFonts w:eastAsiaTheme="minorHAnsi" w:cstheme="minorHAnsi"/>
          <w:b/>
        </w:rPr>
        <w:t>yes</w:t>
      </w:r>
      <w:r w:rsidRPr="00EF220B">
        <w:rPr>
          <w:rFonts w:eastAsiaTheme="minorHAnsi" w:cstheme="minorHAnsi"/>
        </w:rPr>
        <w:t xml:space="preserve"> to </w:t>
      </w:r>
      <w:r w:rsidRPr="00EF220B">
        <w:rPr>
          <w:rFonts w:eastAsiaTheme="minorHAnsi" w:cstheme="minorHAnsi"/>
          <w:b/>
        </w:rPr>
        <w:t>three or more items</w:t>
      </w:r>
    </w:p>
    <w:p w:rsidR="00AA513F" w:rsidRPr="001C081A" w:rsidRDefault="00AA513F" w:rsidP="009A718F">
      <w:pPr>
        <w:ind w:left="1440"/>
        <w:rPr>
          <w:rFonts w:cstheme="minorHAnsi"/>
          <w:color w:val="000000"/>
          <w:lang w:val="en-GB"/>
        </w:rPr>
      </w:pPr>
      <w:r w:rsidRPr="00EF220B">
        <w:rPr>
          <w:rFonts w:eastAsiaTheme="minorHAnsi" w:cstheme="minorHAnsi"/>
          <w:i/>
          <w:iCs/>
        </w:rPr>
        <w:t xml:space="preserve">Low risk of OSA: </w:t>
      </w:r>
      <w:r w:rsidRPr="00EF220B">
        <w:rPr>
          <w:rFonts w:eastAsiaTheme="minorHAnsi" w:cstheme="minorHAnsi"/>
        </w:rPr>
        <w:t xml:space="preserve">answering </w:t>
      </w:r>
      <w:r w:rsidRPr="00EF220B">
        <w:rPr>
          <w:rFonts w:eastAsiaTheme="minorHAnsi" w:cstheme="minorHAnsi"/>
          <w:b/>
        </w:rPr>
        <w:t>yes</w:t>
      </w:r>
      <w:r w:rsidRPr="00EF220B">
        <w:rPr>
          <w:rFonts w:eastAsiaTheme="minorHAnsi" w:cstheme="minorHAnsi"/>
        </w:rPr>
        <w:t xml:space="preserve"> to </w:t>
      </w:r>
      <w:r w:rsidRPr="00EF220B">
        <w:rPr>
          <w:rFonts w:eastAsiaTheme="minorHAnsi" w:cstheme="minorHAnsi"/>
          <w:b/>
        </w:rPr>
        <w:t>less than three items</w:t>
      </w:r>
    </w:p>
    <w:p w:rsidR="00524AE1" w:rsidRPr="001C081A" w:rsidRDefault="001C081A" w:rsidP="00524AE1">
      <w:pPr>
        <w:jc w:val="right"/>
        <w:rPr>
          <w:rFonts w:cstheme="minorHAnsi"/>
          <w:i/>
        </w:rPr>
      </w:pPr>
      <w:r w:rsidRPr="001C081A">
        <w:rPr>
          <w:rFonts w:eastAsiaTheme="minorHAnsi" w:cstheme="minorHAnsi"/>
          <w:i/>
        </w:rPr>
        <w:t xml:space="preserve">Anesthesiology 2008; 108:812–21 Copyright © 2008, the American Society of Anesthesiologists, Inc. </w:t>
      </w:r>
    </w:p>
    <w:sectPr w:rsidR="00524AE1" w:rsidRPr="001C0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3F"/>
    <w:rsid w:val="001C081A"/>
    <w:rsid w:val="00524AE1"/>
    <w:rsid w:val="009A718F"/>
    <w:rsid w:val="00AA513F"/>
    <w:rsid w:val="00E83F95"/>
    <w:rsid w:val="00EA5481"/>
    <w:rsid w:val="00EF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3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13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24A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3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13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24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1033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Owner</cp:lastModifiedBy>
  <cp:revision>2</cp:revision>
  <dcterms:created xsi:type="dcterms:W3CDTF">2013-03-14T16:04:00Z</dcterms:created>
  <dcterms:modified xsi:type="dcterms:W3CDTF">2013-03-14T16:04:00Z</dcterms:modified>
</cp:coreProperties>
</file>